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AB" w:rsidRDefault="002A32AB" w:rsidP="002A32AB">
      <w:pPr>
        <w:pStyle w:val="1"/>
      </w:pPr>
      <w:r>
        <w:t>(111-42-2)二乙醇胺的理化及危险特性表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738"/>
        <w:gridCol w:w="2066"/>
        <w:gridCol w:w="2842"/>
      </w:tblGrid>
      <w:tr w:rsidR="002A32AB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 识</w:t>
            </w: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中文名：二乙醇胺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diethanlamine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11</w:t>
            </w:r>
            <w:r>
              <w:rPr>
                <w:rFonts w:ascii="宋体" w:hAnsi="宋体" w:hint="eastAsia"/>
              </w:rPr>
              <w:t>NO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066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分子量：105.14</w:t>
            </w:r>
          </w:p>
        </w:tc>
        <w:tc>
          <w:tcPr>
            <w:tcW w:w="2842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2类碱性腐蚀品</w:t>
            </w:r>
          </w:p>
        </w:tc>
        <w:tc>
          <w:tcPr>
            <w:tcW w:w="2066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危规号：82507</w:t>
            </w:r>
          </w:p>
        </w:tc>
        <w:tc>
          <w:tcPr>
            <w:tcW w:w="2842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CAS号：111-42-2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 化 性 质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Cs/>
              </w:rPr>
              <w:t>外观与性状：无色粘性液体或结晶。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溶解性：易溶于水、乙醇，不溶于乙醚、苯。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熔点（℃）：28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沸点（℃）：269（分解）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相对密度（水＝1）：1.09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相对密度（空气＝1）：3.65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饱和蒸气压（kPa）：0.67(138℃)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临界温度（℃）：无资料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临界压力（MPa）：无资料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燃烧爆炸危险性</w:t>
            </w: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闪点（℃）：137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爆炸下限（%）：1.6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引燃温度（℃）：662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  <w:spacing w:val="-6"/>
              </w:rPr>
              <w:t>燃烧分解产物：一氧化碳、二氧化碳、氧化氮。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373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</w:t>
            </w:r>
          </w:p>
        </w:tc>
        <w:tc>
          <w:tcPr>
            <w:tcW w:w="4908" w:type="dxa"/>
            <w:gridSpan w:val="2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禁忌物：酸类、强氧化剂、铜、锌。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危险特性：遇明火、高热可燃。受热分解放出有毒的氧化氮烟气。与氧化剂接触可发生化学反应。能腐蚀铜及铜的化合物。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灭火方法：喷水保持火场容器冷却，直至灭火结束。</w:t>
            </w:r>
          </w:p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灭火剂：水、干粉、二氧化碳、抗溶性泡沫。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毒性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lang w:val="en-GB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：1820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； 1220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</w:t>
            </w:r>
            <w:r>
              <w:rPr>
                <w:rFonts w:ascii="宋体" w:hAnsi="宋体" w:hint="eastAsia"/>
                <w:lang w:val="en-GB"/>
              </w:rPr>
              <w:t xml:space="preserve">                       </w:t>
            </w:r>
          </w:p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A32AB" w:rsidTr="0090435F">
        <w:trPr>
          <w:cantSplit/>
          <w:jc w:val="center"/>
        </w:trPr>
        <w:tc>
          <w:tcPr>
            <w:tcW w:w="528" w:type="dxa"/>
            <w:vMerge w:val="restart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侵入途径：吸入、食入、经皮吸收。</w:t>
            </w:r>
          </w:p>
        </w:tc>
      </w:tr>
      <w:tr w:rsidR="002A32AB" w:rsidTr="0090435F">
        <w:trPr>
          <w:cantSplit/>
          <w:trHeight w:val="762"/>
          <w:jc w:val="center"/>
        </w:trPr>
        <w:tc>
          <w:tcPr>
            <w:tcW w:w="528" w:type="dxa"/>
            <w:vMerge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蒸气或雾，刺激呼吸道。高浓度吸入出现咳嗽、头痛、恶心、呕吐、昏迷。蒸气对眼有强烈刺激性；液体或雾可致严重眼损害，甚至导致失明。长时间皮肤接触，可致灼伤。大量口服出现恶心、呕吐和腹痛。慢性影响：长期反复接触可能引起肝肾损害。</w:t>
            </w:r>
          </w:p>
        </w:tc>
      </w:tr>
      <w:tr w:rsidR="002A32AB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 救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皮肤接触：立即脱去污染的衣着，用大量流动清水冲洗至少15分钟。就医。   ※眼睛接触：立即提起眼脸，用大量流动清水或生理盐水彻底冲洗至少15分钟。就医。  ※吸入：迅速脱离现场至空气新鲜处。保持呼吸道通畅。如呼吸困难给输氧。如呼吸停止，立即进行人工呼吸。就医。  ※食入：用水漱口，给饮牛奶或蛋清。就医。</w:t>
            </w:r>
          </w:p>
        </w:tc>
      </w:tr>
      <w:tr w:rsidR="002A32AB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  护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工程控制：密闭操作，注意通风。提供安全淋浴和洗眼设备。  ※呼吸系统防护：空气中粉尘浓度超标时，应该佩戴头罩型电动送风过滤式防尘呼吸器。可能接触其蒸气时，建议佩戴直接式防毒面具（半面罩）。   ※眼睛防护：呼吸系统防护中已作防护。  ※身体防护：穿聚乙烯防毒服。   ※手防护：戴防化学品手套。   ※其它防护：工作场所禁止吸烟、进食和饮水，饭前要洗手。工作完毕，淋浴更衣。实行就业前和定期的体检。</w:t>
            </w:r>
          </w:p>
        </w:tc>
      </w:tr>
      <w:tr w:rsidR="002A32AB" w:rsidTr="0090435F">
        <w:trPr>
          <w:cantSplit/>
          <w:trHeight w:val="1191"/>
          <w:jc w:val="center"/>
        </w:trPr>
        <w:tc>
          <w:tcPr>
            <w:tcW w:w="52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泄漏处理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人员至安全区，并进行隔离，严格限制出入。切断火源。建议应急处理人员戴自给正压式呼吸器，穿防毒服。不要直接接触泄漏物。若是液体，尽可能切断泄漏源。防止流入下水道、排洪沟等限制性空间。小量泄漏：用砂土、蛭石或其它惰性材料吸收。也可以用大量水冲洗，洗水稀释后放入废水系统。大量泄漏：构筑围堤或挖坑收容。用泵转移至槽车或专用收集器内，回收或运到废物处理场所处置若是固体，用洁净的铲子收集于干燥、洁净、有盖的容器中。若是大量泄漏，收集回收或运至废物处理场所处置。</w:t>
            </w:r>
          </w:p>
        </w:tc>
      </w:tr>
      <w:tr w:rsidR="002A32AB" w:rsidTr="0090435F">
        <w:trPr>
          <w:cantSplit/>
          <w:trHeight w:val="1134"/>
          <w:jc w:val="center"/>
        </w:trPr>
        <w:tc>
          <w:tcPr>
            <w:tcW w:w="528" w:type="dxa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</w:rPr>
              <w:t>储运</w:t>
            </w:r>
          </w:p>
        </w:tc>
        <w:tc>
          <w:tcPr>
            <w:tcW w:w="8646" w:type="dxa"/>
            <w:gridSpan w:val="3"/>
            <w:vAlign w:val="center"/>
          </w:tcPr>
          <w:p w:rsidR="002A32AB" w:rsidRDefault="002A32AB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库房。远离火种、热源。包装密封。应与氧化剂、酸类等分开存放，切忌混储混运。配备相应品种和数量的消防器材。分装和搬运作业要注意个人防护。搬运时要轻装轻卸，防止包装及容器损坏。雨天不宜运输。运输按规定路线行驶。勿在居民区和人口稠密区停留。</w:t>
            </w:r>
          </w:p>
        </w:tc>
      </w:tr>
    </w:tbl>
    <w:p w:rsidR="002A32AB" w:rsidRDefault="002A32AB" w:rsidP="002A32AB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AB"/>
    <w:rsid w:val="002A32A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B028D-3E07-4B35-B610-AB507E93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A32A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A32A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zyhq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2021-06-02T07:11:00Z</dcterms:created>
  <dcterms:modified xsi:type="dcterms:W3CDTF">2021-06-02T07:11:00Z</dcterms:modified>
</cp:coreProperties>
</file>